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263"/>
        <w:gridCol w:w="5387"/>
        <w:gridCol w:w="1984"/>
      </w:tblGrid>
      <w:tr w:rsidR="0041512A" w14:paraId="1168CD29" w14:textId="77777777" w:rsidTr="00536FD7">
        <w:tc>
          <w:tcPr>
            <w:tcW w:w="2263" w:type="dxa"/>
          </w:tcPr>
          <w:p w14:paraId="27541D0E" w14:textId="7D8F6CC3" w:rsidR="0041512A" w:rsidRDefault="00E92F13" w:rsidP="0041512A">
            <w:pPr>
              <w:spacing w:before="120" w:after="120"/>
            </w:pPr>
            <w:hyperlink r:id="rId5" w:history="1">
              <w:r w:rsidR="005D3B59">
                <w:rPr>
                  <w:rStyle w:val="Collegamentoipertestuale"/>
                  <w:b/>
                </w:rPr>
                <w:t>Procedimenti</w:t>
              </w:r>
            </w:hyperlink>
          </w:p>
        </w:tc>
        <w:tc>
          <w:tcPr>
            <w:tcW w:w="5387" w:type="dxa"/>
          </w:tcPr>
          <w:p w14:paraId="60EB764E" w14:textId="77777777" w:rsidR="0041512A" w:rsidRDefault="00536FD7" w:rsidP="008F77D3">
            <w:pPr>
              <w:jc w:val="center"/>
            </w:pPr>
            <w:r>
              <w:rPr>
                <w:b/>
                <w:color w:val="006600"/>
                <w:sz w:val="40"/>
                <w:szCs w:val="40"/>
                <w:u w:val="none"/>
              </w:rPr>
              <w:t>Compro oro</w:t>
            </w:r>
          </w:p>
        </w:tc>
        <w:tc>
          <w:tcPr>
            <w:tcW w:w="1984" w:type="dxa"/>
          </w:tcPr>
          <w:p w14:paraId="44266E78" w14:textId="3DBE3089" w:rsidR="0041512A" w:rsidRPr="0041512A" w:rsidRDefault="00E92F13" w:rsidP="0041512A">
            <w:pPr>
              <w:spacing w:before="120" w:after="120"/>
              <w:jc w:val="center"/>
              <w:rPr>
                <w:b/>
              </w:rPr>
            </w:pPr>
            <w:hyperlink r:id="rId6" w:history="1">
              <w:r w:rsidRPr="002F49AE">
                <w:rPr>
                  <w:rStyle w:val="Collegamentoipertestuale"/>
                  <w:b/>
                </w:rPr>
                <w:t>Con</w:t>
              </w:r>
              <w:r w:rsidRPr="002F49AE">
                <w:rPr>
                  <w:rStyle w:val="Collegamentoipertestuale"/>
                  <w:b/>
                </w:rPr>
                <w:t>t</w:t>
              </w:r>
              <w:r w:rsidRPr="002F49AE">
                <w:rPr>
                  <w:rStyle w:val="Collegamentoipertestuale"/>
                  <w:b/>
                </w:rPr>
                <w:t>atti</w:t>
              </w:r>
            </w:hyperlink>
          </w:p>
        </w:tc>
      </w:tr>
      <w:tr w:rsidR="00342D58" w14:paraId="092D3122" w14:textId="77777777" w:rsidTr="00536FD7">
        <w:tc>
          <w:tcPr>
            <w:tcW w:w="9634" w:type="dxa"/>
            <w:gridSpan w:val="3"/>
          </w:tcPr>
          <w:p w14:paraId="7C935005" w14:textId="2CC0B006" w:rsidR="00A81D46" w:rsidRPr="004C573F" w:rsidRDefault="004C573F" w:rsidP="00A81D46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4C573F">
              <w:rPr>
                <w:rStyle w:val="Collegamentoipertestuale"/>
                <w:b/>
                <w:color w:val="C00000"/>
                <w:u w:val="none"/>
              </w:rPr>
              <w:t>Definizione</w:t>
            </w:r>
          </w:p>
          <w:p w14:paraId="3A71BD83" w14:textId="77777777" w:rsidR="00536FD7" w:rsidRPr="00536FD7" w:rsidRDefault="00536FD7" w:rsidP="00536FD7">
            <w:pPr>
              <w:autoSpaceDE w:val="0"/>
              <w:autoSpaceDN w:val="0"/>
              <w:adjustRightInd w:val="0"/>
              <w:ind w:left="174" w:right="320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536FD7">
              <w:rPr>
                <w:color w:val="auto"/>
                <w:sz w:val="20"/>
                <w:szCs w:val="20"/>
                <w:u w:val="none"/>
              </w:rPr>
              <w:t>Sono oggetti preziosi quelli costituiti, in tutto o in parte, da metalli preziosi (oro, argento, platino e palladio, coralli e perle di ogni tipo) e da pietre preziose (diamanti, rubini, zaffiri, smeraldi e ogni altra pietra che sia unita a metalli preziosi). Metalli e pietre preziose possono anche essere venduti sciolti.</w:t>
            </w:r>
          </w:p>
          <w:p w14:paraId="3144AED1" w14:textId="77777777" w:rsidR="00E94101" w:rsidRDefault="00E94101" w:rsidP="00E94101">
            <w:pPr>
              <w:ind w:left="174"/>
              <w:rPr>
                <w:b/>
                <w:color w:val="C00000"/>
                <w:u w:val="none"/>
              </w:rPr>
            </w:pPr>
          </w:p>
          <w:p w14:paraId="31F83DA2" w14:textId="291CF7B7" w:rsidR="00C92D90" w:rsidRPr="004C573F" w:rsidRDefault="00E92F13" w:rsidP="00C92D90">
            <w:pPr>
              <w:spacing w:after="120"/>
              <w:ind w:left="174"/>
              <w:rPr>
                <w:b/>
                <w:color w:val="0000FF"/>
              </w:rPr>
            </w:pPr>
            <w:hyperlink r:id="rId7" w:history="1">
              <w:r w:rsidR="00536FD7" w:rsidRPr="00E94101">
                <w:rPr>
                  <w:rStyle w:val="Collegamentoipertestuale"/>
                  <w:b/>
                </w:rPr>
                <w:t>Modalità di esercizio</w:t>
              </w:r>
            </w:hyperlink>
          </w:p>
          <w:p w14:paraId="56FB7A63" w14:textId="77777777" w:rsidR="00D96248" w:rsidRPr="004C573F" w:rsidRDefault="00D96248" w:rsidP="00D96248">
            <w:pPr>
              <w:ind w:left="164" w:right="312"/>
              <w:jc w:val="both"/>
              <w:rPr>
                <w:rFonts w:eastAsia="Times New Roman"/>
                <w:b/>
                <w:color w:val="C00000"/>
                <w:u w:val="none"/>
                <w:lang w:eastAsia="it-IT"/>
              </w:rPr>
            </w:pPr>
          </w:p>
          <w:p w14:paraId="0893028F" w14:textId="77777777" w:rsidR="00651349" w:rsidRPr="004C573F" w:rsidRDefault="002B6C24" w:rsidP="00EC548A">
            <w:pPr>
              <w:spacing w:after="120"/>
              <w:ind w:left="164" w:right="312"/>
              <w:jc w:val="both"/>
              <w:rPr>
                <w:rFonts w:eastAsia="Times New Roman"/>
                <w:b/>
                <w:color w:val="C00000"/>
                <w:u w:val="none"/>
                <w:lang w:eastAsia="it-IT"/>
              </w:rPr>
            </w:pPr>
            <w:r w:rsidRPr="004C573F">
              <w:rPr>
                <w:rFonts w:eastAsia="Times New Roman"/>
                <w:b/>
                <w:color w:val="C00000"/>
                <w:u w:val="none"/>
                <w:lang w:eastAsia="it-IT"/>
              </w:rPr>
              <w:t>Presentazione pratica</w:t>
            </w:r>
          </w:p>
          <w:p w14:paraId="0AD5CC38" w14:textId="5E0AF45D" w:rsidR="006B2EE0" w:rsidRPr="006B2EE0" w:rsidRDefault="006B2EE0" w:rsidP="006B2EE0">
            <w:pPr>
              <w:spacing w:after="120" w:line="270" w:lineRule="atLeast"/>
              <w:ind w:left="174" w:right="318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6B2EE0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Unitamente alla </w:t>
            </w:r>
            <w:r w:rsidRPr="006B2EE0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SCIA o istanza</w:t>
            </w:r>
            <w:r w:rsidRPr="006B2EE0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per attivare l’attività di </w:t>
            </w:r>
            <w:hyperlink r:id="rId8" w:history="1">
              <w:r w:rsidRPr="004C573F">
                <w:rPr>
                  <w:rStyle w:val="Collegamentoipertestuale"/>
                  <w:rFonts w:eastAsia="Times New Roman"/>
                  <w:b/>
                  <w:bCs/>
                  <w:sz w:val="20"/>
                  <w:szCs w:val="20"/>
                  <w:lang w:eastAsia="it-IT"/>
                </w:rPr>
                <w:t>vendita al dettaglio di preziosi</w:t>
              </w:r>
            </w:hyperlink>
            <w:r w:rsidRPr="006B2EE0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, occorre presentare </w:t>
            </w:r>
            <w:r w:rsidRPr="006B2EE0">
              <w:rPr>
                <w:rFonts w:eastAsia="Times New Roman"/>
                <w:b/>
                <w:color w:val="C00000"/>
                <w:sz w:val="20"/>
                <w:szCs w:val="20"/>
                <w:u w:val="none"/>
                <w:lang w:eastAsia="it-IT"/>
              </w:rPr>
              <w:t>istanza alla Questura</w:t>
            </w:r>
            <w:r w:rsidRPr="006B2EE0">
              <w:rPr>
                <w:rFonts w:eastAsia="Times New Roman"/>
                <w:color w:val="C0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6B2EE0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per l’ottenimento della prescritta licenza di Polizia. L’istanza deve essere allegata alla SCIA Condizionata di inizio dell’attività che il SUAP inoltrerà alla Questura.</w:t>
            </w:r>
          </w:p>
          <w:p w14:paraId="47083086" w14:textId="77777777" w:rsidR="006B2EE0" w:rsidRPr="006B2EE0" w:rsidRDefault="006B2EE0" w:rsidP="006B2EE0">
            <w:pPr>
              <w:spacing w:line="270" w:lineRule="atLeast"/>
              <w:ind w:left="174" w:right="318"/>
              <w:jc w:val="both"/>
              <w:rPr>
                <w:rFonts w:eastAsia="Times New Roman"/>
                <w:color w:val="FF0000"/>
                <w:sz w:val="20"/>
                <w:szCs w:val="20"/>
                <w:u w:val="none"/>
                <w:lang w:eastAsia="it-IT"/>
              </w:rPr>
            </w:pPr>
            <w:r w:rsidRPr="006B2EE0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L’attività di vendita di preziosi può essere iniziata solo dopo l’ottenimento della licenza da parte della Questura</w:t>
            </w:r>
            <w:r w:rsidRPr="006B2EE0">
              <w:rPr>
                <w:rFonts w:eastAsia="Times New Roman"/>
                <w:color w:val="FF0000"/>
                <w:sz w:val="20"/>
                <w:szCs w:val="20"/>
                <w:u w:val="none"/>
                <w:lang w:eastAsia="it-IT"/>
              </w:rPr>
              <w:t>.</w:t>
            </w:r>
          </w:p>
          <w:p w14:paraId="203A56A7" w14:textId="77777777" w:rsidR="006B2EE0" w:rsidRPr="006B2EE0" w:rsidRDefault="006B2EE0" w:rsidP="00A96A45">
            <w:pPr>
              <w:ind w:left="174" w:right="318"/>
              <w:jc w:val="both"/>
              <w:rPr>
                <w:rFonts w:eastAsia="Times New Roman"/>
                <w:b/>
                <w:color w:val="0000FF"/>
                <w:sz w:val="20"/>
                <w:szCs w:val="20"/>
                <w:u w:val="none"/>
                <w:lang w:eastAsia="it-IT"/>
              </w:rPr>
            </w:pPr>
          </w:p>
          <w:p w14:paraId="791B1390" w14:textId="690F865C" w:rsidR="006B2EE0" w:rsidRPr="006B2EE0" w:rsidRDefault="006B2EE0" w:rsidP="006B2EE0">
            <w:pPr>
              <w:spacing w:after="120"/>
              <w:ind w:left="174" w:right="318"/>
              <w:jc w:val="both"/>
              <w:rPr>
                <w:color w:val="0000FF"/>
                <w:sz w:val="20"/>
                <w:szCs w:val="20"/>
                <w:u w:val="none"/>
              </w:rPr>
            </w:pPr>
            <w:r w:rsidRPr="004C573F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L’avvio, trasferimento o ampliamento</w:t>
            </w:r>
            <w:r w:rsidRPr="006B2EE0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6B2EE0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dell’attività di vendita al dettaglio, non soggetto ad autorizzazione, è soggetto alla presentazione di </w:t>
            </w:r>
            <w:r w:rsidRPr="006B2EE0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SCIA, SCIA Unica o SCIA Condizionata</w:t>
            </w:r>
            <w:r w:rsidRPr="006B2EE0">
              <w:rPr>
                <w:color w:val="auto"/>
                <w:sz w:val="20"/>
                <w:szCs w:val="20"/>
                <w:u w:val="none"/>
              </w:rPr>
              <w:t xml:space="preserve">, con i relativi allegati (raccolti in file zip), da compilare e inoltrare mediante lo sportello telematico </w:t>
            </w:r>
            <w:hyperlink r:id="rId9" w:history="1">
              <w:r w:rsidR="0089454F">
                <w:rPr>
                  <w:rStyle w:val="Collegamentoipertestuale"/>
                  <w:b/>
                  <w:sz w:val="20"/>
                  <w:szCs w:val="20"/>
                </w:rPr>
                <w:t>Impresainungiorno.gov.it</w:t>
              </w:r>
            </w:hyperlink>
          </w:p>
          <w:p w14:paraId="1ECA85C8" w14:textId="12747AEE" w:rsidR="006B2EE0" w:rsidRPr="006B2EE0" w:rsidRDefault="006B2EE0" w:rsidP="004C573F">
            <w:pPr>
              <w:pStyle w:val="ui-treenode-label1"/>
              <w:shd w:val="clear" w:color="auto" w:fill="FFFFFF"/>
              <w:spacing w:before="0" w:beforeAutospacing="0" w:after="240" w:afterAutospacing="0"/>
              <w:ind w:left="174" w:right="318"/>
              <w:jc w:val="both"/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  <w:r w:rsidRPr="006B2EE0">
              <w:rPr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Ad accesso avvenuto, procedere selezionando: </w:t>
            </w:r>
            <w:r w:rsidRPr="006B2EE0">
              <w:rPr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Commercio</w:t>
            </w:r>
            <w:r w:rsidR="004C573F">
              <w:rPr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 xml:space="preserve"> Ateco da 45 a 47)</w:t>
            </w:r>
            <w:r w:rsidRPr="006B2EE0">
              <w:rPr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 xml:space="preserve"> + </w:t>
            </w:r>
            <w:r w:rsidR="00892F86">
              <w:rPr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 xml:space="preserve">Attività correlate + </w:t>
            </w:r>
            <w:r w:rsidRPr="006B2EE0">
              <w:rPr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 xml:space="preserve">Vendita di oggetti preziosi </w:t>
            </w:r>
            <w:r w:rsidRPr="006B2EE0">
              <w:rPr>
                <w:rFonts w:ascii="Arial" w:hAnsi="Arial" w:cs="Arial"/>
                <w:color w:val="auto"/>
                <w:sz w:val="20"/>
                <w:szCs w:val="20"/>
                <w:u w:val="none"/>
              </w:rPr>
              <w:t>e digitare</w:t>
            </w:r>
            <w:r w:rsidRPr="006B2EE0">
              <w:rPr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6B2EE0">
              <w:rPr>
                <w:rFonts w:ascii="Arial" w:hAnsi="Arial" w:cs="Arial"/>
                <w:color w:val="auto"/>
                <w:sz w:val="20"/>
                <w:szCs w:val="20"/>
                <w:u w:val="none"/>
              </w:rPr>
              <w:t>conferma</w:t>
            </w:r>
            <w:r w:rsidRPr="006B2EE0">
              <w:rPr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6B2EE0">
              <w:rPr>
                <w:rFonts w:ascii="Arial" w:hAnsi="Arial" w:cs="Arial"/>
                <w:color w:val="auto"/>
                <w:sz w:val="20"/>
                <w:szCs w:val="20"/>
                <w:u w:val="none"/>
              </w:rPr>
              <w:t>e</w:t>
            </w:r>
            <w:r w:rsidRPr="006B2EE0">
              <w:rPr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6B2EE0">
              <w:rPr>
                <w:rFonts w:ascii="Arial" w:hAnsi="Arial" w:cs="Arial"/>
                <w:color w:val="auto"/>
                <w:sz w:val="20"/>
                <w:szCs w:val="20"/>
                <w:u w:val="none"/>
              </w:rPr>
              <w:t>a seguire premere</w:t>
            </w:r>
            <w:r w:rsidRPr="006B2EE0">
              <w:rPr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 xml:space="preserve"> Avvio, gestione, cessazione attività + Domanda di autorizzazione commercio oggetti preziosi</w:t>
            </w:r>
            <w:r w:rsidRPr="006B2EE0">
              <w:rPr>
                <w:rFonts w:ascii="Arial" w:hAnsi="Arial" w:cs="Arial"/>
                <w:b/>
                <w:sz w:val="20"/>
                <w:szCs w:val="20"/>
                <w:u w:val="none"/>
              </w:rPr>
              <w:t>.</w:t>
            </w:r>
          </w:p>
          <w:p w14:paraId="6996767C" w14:textId="77777777" w:rsidR="004C573F" w:rsidRDefault="004C573F" w:rsidP="004C573F">
            <w:pPr>
              <w:spacing w:before="30" w:after="120"/>
              <w:ind w:left="164" w:right="312"/>
              <w:jc w:val="both"/>
              <w:rPr>
                <w:rStyle w:val="Collegamentoipertestuale"/>
                <w:b/>
                <w:color w:val="FF0000"/>
                <w:sz w:val="20"/>
                <w:szCs w:val="20"/>
                <w:u w:val="none"/>
              </w:rPr>
            </w:pPr>
          </w:p>
          <w:p w14:paraId="4C4C64DD" w14:textId="77777777" w:rsidR="004C573F" w:rsidRPr="00F40102" w:rsidRDefault="004C573F" w:rsidP="004C573F">
            <w:pPr>
              <w:spacing w:after="120"/>
              <w:ind w:left="164" w:right="312"/>
              <w:jc w:val="both"/>
              <w:rPr>
                <w:b/>
                <w:bCs/>
                <w:i/>
                <w:iCs/>
                <w:color w:val="FF0000"/>
                <w:sz w:val="22"/>
                <w:szCs w:val="22"/>
                <w:u w:val="none"/>
              </w:rPr>
            </w:pPr>
            <w:r>
              <w:rPr>
                <w:b/>
                <w:bCs/>
                <w:i/>
                <w:iCs/>
                <w:color w:val="FF0000"/>
                <w:sz w:val="22"/>
                <w:szCs w:val="22"/>
                <w:u w:val="none"/>
              </w:rPr>
              <w:t>Modulistica per comunicazione diretta alla Questura</w:t>
            </w:r>
          </w:p>
          <w:p w14:paraId="04AF9B96" w14:textId="63B3B40C" w:rsidR="004C573F" w:rsidRPr="006B2EE0" w:rsidRDefault="004C573F" w:rsidP="004C573F">
            <w:pPr>
              <w:spacing w:before="120" w:after="120" w:line="270" w:lineRule="atLeast"/>
              <w:ind w:left="174"/>
              <w:jc w:val="both"/>
              <w:rPr>
                <w:rStyle w:val="Collegamentoipertestuale"/>
                <w:rFonts w:eastAsia="Times New Roman"/>
                <w:b/>
                <w:sz w:val="20"/>
                <w:szCs w:val="20"/>
                <w:lang w:eastAsia="it-IT"/>
              </w:rPr>
            </w:pPr>
            <w:r w:rsidRPr="006B2EE0">
              <w:rPr>
                <w:rFonts w:eastAsia="Times New Roman"/>
                <w:b/>
                <w:color w:val="0000FF"/>
                <w:sz w:val="20"/>
                <w:szCs w:val="20"/>
                <w:lang w:eastAsia="it-IT"/>
              </w:rPr>
              <w:fldChar w:fldCharType="begin"/>
            </w:r>
            <w:r w:rsidR="00E25953">
              <w:rPr>
                <w:rFonts w:eastAsia="Times New Roman"/>
                <w:b/>
                <w:color w:val="0000FF"/>
                <w:sz w:val="20"/>
                <w:szCs w:val="20"/>
                <w:lang w:eastAsia="it-IT"/>
              </w:rPr>
              <w:instrText>HYPERLINK "../Nuova%20modulistica%20Questura/Modello_2112%20Oggetti%20preziosi.docx"</w:instrText>
            </w:r>
            <w:r w:rsidRPr="006B2EE0">
              <w:rPr>
                <w:rFonts w:eastAsia="Times New Roman"/>
                <w:b/>
                <w:color w:val="0000FF"/>
                <w:sz w:val="20"/>
                <w:szCs w:val="20"/>
                <w:lang w:eastAsia="it-IT"/>
              </w:rPr>
              <w:fldChar w:fldCharType="separate"/>
            </w:r>
            <w:r w:rsidRPr="006B2EE0">
              <w:rPr>
                <w:rStyle w:val="Collegamentoipertestuale"/>
                <w:rFonts w:eastAsia="Times New Roman"/>
                <w:b/>
                <w:sz w:val="20"/>
                <w:szCs w:val="20"/>
                <w:lang w:eastAsia="it-IT"/>
              </w:rPr>
              <w:t>Istanza alla</w:t>
            </w:r>
            <w:r w:rsidRPr="006B2EE0">
              <w:rPr>
                <w:rStyle w:val="Collegamentoipertestuale"/>
                <w:rFonts w:eastAsia="Times New Roman"/>
                <w:b/>
                <w:sz w:val="20"/>
                <w:szCs w:val="20"/>
                <w:lang w:eastAsia="it-IT"/>
              </w:rPr>
              <w:t xml:space="preserve"> </w:t>
            </w:r>
            <w:r w:rsidRPr="006B2EE0">
              <w:rPr>
                <w:rStyle w:val="Collegamentoipertestuale"/>
                <w:rFonts w:eastAsia="Times New Roman"/>
                <w:b/>
                <w:sz w:val="20"/>
                <w:szCs w:val="20"/>
                <w:lang w:eastAsia="it-IT"/>
              </w:rPr>
              <w:t>Questura</w:t>
            </w:r>
          </w:p>
          <w:p w14:paraId="5FF07BFE" w14:textId="0F1353E4" w:rsidR="004C573F" w:rsidRPr="006B2EE0" w:rsidRDefault="004C573F" w:rsidP="004C573F">
            <w:pPr>
              <w:spacing w:before="120" w:after="120" w:line="270" w:lineRule="atLeast"/>
              <w:ind w:left="174"/>
              <w:jc w:val="both"/>
              <w:rPr>
                <w:rStyle w:val="Collegamentoipertestuale"/>
                <w:rFonts w:eastAsia="Times New Roman"/>
                <w:b/>
                <w:sz w:val="20"/>
                <w:szCs w:val="20"/>
                <w:lang w:eastAsia="it-IT"/>
              </w:rPr>
            </w:pPr>
            <w:r w:rsidRPr="006B2EE0">
              <w:rPr>
                <w:rFonts w:eastAsia="Times New Roman"/>
                <w:b/>
                <w:color w:val="0000FF"/>
                <w:sz w:val="20"/>
                <w:szCs w:val="20"/>
                <w:lang w:eastAsia="it-IT"/>
              </w:rPr>
              <w:fldChar w:fldCharType="end"/>
            </w:r>
            <w:r w:rsidRPr="006B2EE0">
              <w:rPr>
                <w:rFonts w:eastAsia="Times New Roman"/>
                <w:b/>
                <w:color w:val="0000FF"/>
                <w:sz w:val="20"/>
                <w:szCs w:val="20"/>
                <w:lang w:eastAsia="it-IT"/>
              </w:rPr>
              <w:fldChar w:fldCharType="begin"/>
            </w:r>
            <w:r w:rsidR="005D3B59">
              <w:rPr>
                <w:rFonts w:eastAsia="Times New Roman"/>
                <w:b/>
                <w:color w:val="0000FF"/>
                <w:sz w:val="20"/>
                <w:szCs w:val="20"/>
                <w:lang w:eastAsia="it-IT"/>
              </w:rPr>
              <w:instrText>HYPERLINK "../Nuova%20modulistica%20Questura/Modello_2114%20Nomina%20e%20revoca%20rapp..docx"</w:instrText>
            </w:r>
            <w:r w:rsidRPr="006B2EE0">
              <w:rPr>
                <w:rFonts w:eastAsia="Times New Roman"/>
                <w:b/>
                <w:color w:val="0000FF"/>
                <w:sz w:val="20"/>
                <w:szCs w:val="20"/>
                <w:lang w:eastAsia="it-IT"/>
              </w:rPr>
              <w:fldChar w:fldCharType="separate"/>
            </w:r>
            <w:r w:rsidRPr="006B2EE0">
              <w:rPr>
                <w:rStyle w:val="Collegamentoipertestuale"/>
                <w:rFonts w:eastAsia="Times New Roman"/>
                <w:b/>
                <w:sz w:val="20"/>
                <w:szCs w:val="20"/>
                <w:lang w:eastAsia="it-IT"/>
              </w:rPr>
              <w:t>Nomina o revoca rappresentante</w:t>
            </w:r>
          </w:p>
          <w:p w14:paraId="27D1A973" w14:textId="6400DCD3" w:rsidR="004C573F" w:rsidRPr="005D3B59" w:rsidRDefault="004C573F" w:rsidP="004C573F">
            <w:pPr>
              <w:spacing w:before="120" w:after="120" w:line="270" w:lineRule="atLeast"/>
              <w:ind w:left="174"/>
              <w:jc w:val="both"/>
              <w:rPr>
                <w:rStyle w:val="Collegamentoipertestuale"/>
                <w:b/>
                <w:sz w:val="20"/>
                <w:szCs w:val="20"/>
              </w:rPr>
            </w:pPr>
            <w:r w:rsidRPr="006B2EE0">
              <w:rPr>
                <w:rFonts w:eastAsia="Times New Roman"/>
                <w:b/>
                <w:color w:val="0000FF"/>
                <w:sz w:val="20"/>
                <w:szCs w:val="20"/>
                <w:lang w:eastAsia="it-IT"/>
              </w:rPr>
              <w:fldChar w:fldCharType="end"/>
            </w:r>
            <w:r w:rsidR="005D3B59">
              <w:rPr>
                <w:rFonts w:eastAsia="Times New Roman"/>
                <w:b/>
                <w:sz w:val="20"/>
                <w:szCs w:val="20"/>
                <w:lang w:eastAsia="it-IT"/>
              </w:rPr>
              <w:fldChar w:fldCharType="begin"/>
            </w:r>
            <w:r w:rsidR="005D3B59">
              <w:rPr>
                <w:rFonts w:eastAsia="Times New Roman"/>
                <w:b/>
                <w:sz w:val="20"/>
                <w:szCs w:val="20"/>
                <w:lang w:eastAsia="it-IT"/>
              </w:rPr>
              <w:instrText>HYPERLINK "../Nuova%20modulistica%20Questura/Modello_2113%20Rapp%20Oggetti%20Preziosi.docx"</w:instrText>
            </w:r>
            <w:r w:rsidR="005D3B59">
              <w:rPr>
                <w:rFonts w:eastAsia="Times New Roman"/>
                <w:b/>
                <w:sz w:val="20"/>
                <w:szCs w:val="20"/>
                <w:lang w:eastAsia="it-IT"/>
              </w:rPr>
              <w:fldChar w:fldCharType="separate"/>
            </w:r>
            <w:r w:rsidRPr="005D3B59">
              <w:rPr>
                <w:rStyle w:val="Collegamentoipertestuale"/>
                <w:rFonts w:eastAsia="Times New Roman"/>
                <w:b/>
                <w:sz w:val="20"/>
                <w:szCs w:val="20"/>
                <w:lang w:eastAsia="it-IT"/>
              </w:rPr>
              <w:t xml:space="preserve">Dichiarazione accettazione rappresentanza </w:t>
            </w:r>
          </w:p>
          <w:p w14:paraId="3AC72D5F" w14:textId="1FFBD5C2" w:rsidR="004C573F" w:rsidRDefault="005D3B59" w:rsidP="004C573F">
            <w:pPr>
              <w:spacing w:after="120"/>
              <w:ind w:left="164" w:right="312"/>
              <w:jc w:val="both"/>
              <w:rPr>
                <w:rStyle w:val="Collegamentoipertestuale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eastAsia="it-IT"/>
              </w:rPr>
              <w:fldChar w:fldCharType="end"/>
            </w:r>
            <w:r w:rsidR="004C573F" w:rsidRPr="006B2EE0">
              <w:rPr>
                <w:b/>
                <w:color w:val="FF0000"/>
                <w:sz w:val="20"/>
                <w:szCs w:val="20"/>
                <w:u w:val="none"/>
              </w:rPr>
              <w:t xml:space="preserve">Prima di iniziare l’attività occorre far </w:t>
            </w:r>
            <w:hyperlink r:id="rId10" w:history="1">
              <w:r w:rsidR="004C573F" w:rsidRPr="00511929">
                <w:rPr>
                  <w:rStyle w:val="Collegamentoipertestuale"/>
                  <w:b/>
                  <w:sz w:val="20"/>
                  <w:szCs w:val="20"/>
                </w:rPr>
                <w:t>vidimare il reg</w:t>
              </w:r>
              <w:r w:rsidR="004C573F" w:rsidRPr="00511929">
                <w:rPr>
                  <w:rStyle w:val="Collegamentoipertestuale"/>
                  <w:b/>
                  <w:sz w:val="20"/>
                  <w:szCs w:val="20"/>
                </w:rPr>
                <w:t>i</w:t>
              </w:r>
              <w:r w:rsidR="004C573F" w:rsidRPr="00511929">
                <w:rPr>
                  <w:rStyle w:val="Collegamentoipertestuale"/>
                  <w:b/>
                  <w:sz w:val="20"/>
                  <w:szCs w:val="20"/>
                </w:rPr>
                <w:t xml:space="preserve">stro degli affari </w:t>
              </w:r>
            </w:hyperlink>
          </w:p>
          <w:p w14:paraId="4D9E2BD7" w14:textId="0D0959D0" w:rsidR="004C573F" w:rsidRPr="00A81D46" w:rsidRDefault="004C573F" w:rsidP="004C573F">
            <w:pPr>
              <w:spacing w:after="120"/>
              <w:ind w:left="164" w:right="312"/>
              <w:jc w:val="both"/>
              <w:rPr>
                <w:b/>
                <w:color w:val="FF0000"/>
                <w:sz w:val="20"/>
                <w:szCs w:val="20"/>
                <w:u w:val="none"/>
              </w:rPr>
            </w:pPr>
            <w:r w:rsidRPr="00A81D46">
              <w:rPr>
                <w:b/>
                <w:color w:val="FF0000"/>
                <w:sz w:val="20"/>
                <w:szCs w:val="20"/>
                <w:u w:val="none"/>
              </w:rPr>
              <w:t xml:space="preserve">L’attività può essere iniziata solo dopo l’assenso della da parte della Questura  </w:t>
            </w:r>
          </w:p>
          <w:p w14:paraId="4804B07F" w14:textId="77777777" w:rsidR="004C573F" w:rsidRPr="0056509F" w:rsidRDefault="004C573F" w:rsidP="004C573F">
            <w:pPr>
              <w:spacing w:before="240" w:after="240"/>
              <w:ind w:left="164" w:right="312"/>
              <w:jc w:val="both"/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</w:pPr>
            <w:r w:rsidRPr="0016697F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Variazioni attività -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La stessa procedura si applica per le comunicazioni inerenti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: </w:t>
            </w:r>
            <w:r w:rsidRPr="0056509F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Subingresso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– Trasferimento all’interno del territorio comunale -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Modifica locali o impianti –Cambio sede legale – Modifiche societarie – Cambio amministratore delegato – Cambio soci –</w:t>
            </w:r>
            <w:hyperlink r:id="rId11" w:history="1">
              <w:r w:rsidRPr="0056509F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 xml:space="preserve"> Affido </w:t>
              </w:r>
              <w:r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>g</w:t>
              </w:r>
              <w:r w:rsidRPr="0016697F">
                <w:rPr>
                  <w:rStyle w:val="Collegamentoipertestuale"/>
                  <w:b/>
                  <w:bCs/>
                  <w:color w:val="auto"/>
                  <w:sz w:val="20"/>
                  <w:szCs w:val="20"/>
                  <w:u w:val="none"/>
                </w:rPr>
                <w:t>estione</w:t>
              </w:r>
              <w:r w:rsidRPr="0016697F">
                <w:rPr>
                  <w:rStyle w:val="Collegamentoipertestuale"/>
                  <w:u w:val="none"/>
                </w:rPr>
                <w:t xml:space="preserve"> </w:t>
              </w:r>
              <w:r w:rsidRPr="0056509F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 xml:space="preserve">di reparto </w:t>
              </w:r>
              <w:r w:rsidRPr="0056509F">
                <w:rPr>
                  <w:rStyle w:val="Collegamentoipertestuale"/>
                  <w:b/>
                  <w:bCs/>
                  <w:color w:val="auto"/>
                  <w:sz w:val="20"/>
                  <w:szCs w:val="20"/>
                  <w:u w:val="none"/>
                </w:rPr>
                <w:t>e relativa cessazione</w:t>
              </w:r>
              <w:r w:rsidRPr="0056509F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>.</w:t>
              </w:r>
            </w:hyperlink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</w:p>
          <w:p w14:paraId="76F3C65C" w14:textId="77777777" w:rsidR="004C573F" w:rsidRDefault="004C573F" w:rsidP="004C573F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16697F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Cessazione o sospensione attività -</w:t>
            </w:r>
            <w:r w:rsidRPr="00CD592E">
              <w:rPr>
                <w:rFonts w:eastAsia="Times New Roman"/>
                <w:color w:val="FF0000"/>
                <w:sz w:val="20"/>
                <w:szCs w:val="20"/>
                <w:u w:val="none"/>
                <w:lang w:eastAsia="it-IT"/>
              </w:rPr>
              <w:t xml:space="preserve"> 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Analoga procedura si applica anche per le comunicazioni di 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cessazione o </w:t>
            </w:r>
            <w:hyperlink r:id="rId12" w:history="1">
              <w:r w:rsidRPr="00CD592E">
                <w:rPr>
                  <w:rStyle w:val="Collegamentoipertestuale"/>
                  <w:rFonts w:eastAsia="Times New Roman"/>
                  <w:b/>
                  <w:color w:val="auto"/>
                  <w:sz w:val="20"/>
                  <w:szCs w:val="20"/>
                  <w:u w:val="none"/>
                  <w:lang w:eastAsia="it-IT"/>
                </w:rPr>
                <w:t>sospensione</w:t>
              </w:r>
            </w:hyperlink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dell'attività e ripresa dopo la sospensione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. Le comunicazioni inerenti alla cessazione dell’attività devono essere comunicate, entro sette giorni dall’evento.</w:t>
            </w:r>
          </w:p>
          <w:p w14:paraId="010DA98B" w14:textId="77777777" w:rsidR="004C573F" w:rsidRPr="00E10070" w:rsidRDefault="004C573F" w:rsidP="004C573F">
            <w:pPr>
              <w:ind w:left="164" w:right="312"/>
              <w:jc w:val="both"/>
              <w:rPr>
                <w:rFonts w:eastAsia="Times New Roman"/>
                <w:i/>
                <w:color w:val="auto"/>
                <w:u w:val="none"/>
                <w:lang w:eastAsia="it-IT"/>
              </w:rPr>
            </w:pPr>
          </w:p>
          <w:p w14:paraId="36DD19D0" w14:textId="2B5136A6" w:rsidR="00A96A45" w:rsidRPr="00A96A45" w:rsidRDefault="00E92F13" w:rsidP="004C573F">
            <w:pPr>
              <w:ind w:left="164" w:right="312"/>
              <w:jc w:val="both"/>
              <w:rPr>
                <w:b/>
                <w:bCs/>
              </w:rPr>
            </w:pPr>
            <w:hyperlink r:id="rId13" w:history="1">
              <w:r w:rsidR="00A96A45" w:rsidRPr="00A96A45">
                <w:rPr>
                  <w:rStyle w:val="Collegamentoipertestuale"/>
                  <w:b/>
                  <w:bCs/>
                </w:rPr>
                <w:t>A</w:t>
              </w:r>
              <w:r w:rsidR="00A96A45" w:rsidRPr="00A96A45">
                <w:rPr>
                  <w:rStyle w:val="Collegamentoipertestuale"/>
                  <w:b/>
                  <w:bCs/>
                </w:rPr>
                <w:t>l</w:t>
              </w:r>
              <w:r w:rsidR="00A96A45" w:rsidRPr="00A96A45">
                <w:rPr>
                  <w:rStyle w:val="Collegamentoipertestuale"/>
                  <w:b/>
                  <w:bCs/>
                </w:rPr>
                <w:t>legati</w:t>
              </w:r>
            </w:hyperlink>
          </w:p>
          <w:p w14:paraId="10B3FE2B" w14:textId="77777777" w:rsidR="00A96A45" w:rsidRDefault="00A96A45" w:rsidP="004C573F">
            <w:pPr>
              <w:ind w:left="164" w:right="312"/>
              <w:jc w:val="both"/>
            </w:pPr>
          </w:p>
          <w:p w14:paraId="042DDF30" w14:textId="6E821D89" w:rsidR="004C573F" w:rsidRPr="00744B7C" w:rsidRDefault="00E92F13" w:rsidP="004C573F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2"/>
                <w:szCs w:val="22"/>
                <w:lang w:eastAsia="it-IT"/>
              </w:rPr>
            </w:pPr>
            <w:hyperlink r:id="rId14" w:history="1">
              <w:r w:rsidR="004C573F" w:rsidRPr="001A1018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>Codici AT</w:t>
              </w:r>
              <w:r w:rsidR="004C573F" w:rsidRPr="001A1018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>E</w:t>
              </w:r>
              <w:r w:rsidR="004C573F" w:rsidRPr="001A1018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>CO</w:t>
              </w:r>
            </w:hyperlink>
            <w:r w:rsidR="004C573F" w:rsidRPr="0016697F">
              <w:rPr>
                <w:rFonts w:eastAsia="Times New Roman"/>
                <w:b/>
                <w:bCs/>
                <w:iCs/>
                <w:u w:val="none"/>
                <w:lang w:eastAsia="it-IT"/>
              </w:rPr>
              <w:t xml:space="preserve"> </w:t>
            </w:r>
            <w:r w:rsidR="004C573F">
              <w:rPr>
                <w:b/>
                <w:color w:val="auto"/>
                <w:sz w:val="20"/>
                <w:szCs w:val="20"/>
                <w:u w:val="none"/>
              </w:rPr>
              <w:t>(Ateco da 45 a 47)</w:t>
            </w:r>
          </w:p>
          <w:p w14:paraId="6ED7F5EC" w14:textId="77777777" w:rsidR="004C573F" w:rsidRDefault="004C573F" w:rsidP="004C573F">
            <w:pPr>
              <w:ind w:left="164" w:right="312"/>
              <w:jc w:val="both"/>
              <w:rPr>
                <w:rStyle w:val="Collegamentoipertestuale"/>
                <w:b/>
                <w:bCs/>
                <w:color w:val="C00000"/>
                <w:u w:val="none"/>
              </w:rPr>
            </w:pPr>
          </w:p>
          <w:p w14:paraId="6E0260FD" w14:textId="4F381863" w:rsidR="004C573F" w:rsidRPr="00A960D3" w:rsidRDefault="004C573F" w:rsidP="004C573F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begin"/>
            </w:r>
            <w:r w:rsidR="00A96A45">
              <w:rPr>
                <w:rStyle w:val="Collegamentoipertestuale"/>
                <w:b/>
                <w:bCs/>
                <w:color w:val="C00000"/>
                <w:u w:val="none"/>
              </w:rPr>
              <w:instrText>HYPERLINK "Definizioni/6PA%20Tariffe%20polizia%20amministrativa.docx"</w:instrText>
            </w: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separate"/>
            </w:r>
            <w:r>
              <w:rPr>
                <w:rStyle w:val="Collegamentoipertestuale"/>
                <w:b/>
                <w:bCs/>
              </w:rPr>
              <w:t>O</w:t>
            </w:r>
            <w:r w:rsidRPr="00AB4C12">
              <w:rPr>
                <w:rStyle w:val="Collegamentoipertestuale"/>
                <w:b/>
              </w:rPr>
              <w:t xml:space="preserve">neri </w:t>
            </w:r>
            <w:r w:rsidRPr="00A960D3">
              <w:rPr>
                <w:rStyle w:val="Collegamentoipertestuale"/>
                <w:b/>
                <w:bCs/>
              </w:rPr>
              <w:t>istruttori</w:t>
            </w:r>
          </w:p>
          <w:p w14:paraId="6C4FCD68" w14:textId="77777777" w:rsidR="004C573F" w:rsidRDefault="004C573F" w:rsidP="004C573F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end"/>
            </w:r>
            <w:r w:rsidRPr="00A960D3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Il mancato versamento degli oneri istruttori rende irricevibile la SCIA o istanza inoltrata</w:t>
            </w:r>
            <w:r w:rsidRPr="00F83E37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4C880697" w14:textId="77777777" w:rsidR="004C573F" w:rsidRPr="00042B0E" w:rsidRDefault="004C573F" w:rsidP="004C573F">
            <w:pPr>
              <w:ind w:left="164" w:right="312"/>
              <w:jc w:val="both"/>
              <w:rPr>
                <w:rStyle w:val="Collegamentoipertestuale"/>
                <w:b/>
                <w:bCs/>
              </w:rPr>
            </w:pPr>
          </w:p>
          <w:p w14:paraId="1971B9C8" w14:textId="63822D63" w:rsidR="004C573F" w:rsidRPr="00FE239B" w:rsidRDefault="00E92F13" w:rsidP="004C573F">
            <w:pPr>
              <w:pStyle w:val="Paragrafoelenco"/>
              <w:spacing w:after="120"/>
              <w:ind w:left="164" w:right="312"/>
              <w:jc w:val="both"/>
              <w:rPr>
                <w:color w:val="0000FF"/>
              </w:rPr>
            </w:pPr>
            <w:hyperlink r:id="rId15" w:history="1">
              <w:r w:rsidR="004C573F" w:rsidRPr="00FE239B">
                <w:rPr>
                  <w:rStyle w:val="Collegamentoipertestuale"/>
                  <w:b/>
                </w:rPr>
                <w:t>Tempistica</w:t>
              </w:r>
            </w:hyperlink>
            <w:r w:rsidR="004C573F" w:rsidRPr="00FE239B">
              <w:rPr>
                <w:b/>
                <w:color w:val="0000FF"/>
                <w:u w:val="none"/>
              </w:rPr>
              <w:t xml:space="preserve"> </w:t>
            </w:r>
          </w:p>
          <w:p w14:paraId="3AF0E8DA" w14:textId="77777777" w:rsidR="004C573F" w:rsidRDefault="004C573F" w:rsidP="004C573F">
            <w:pPr>
              <w:pStyle w:val="Rientrocorpodeltesto"/>
              <w:spacing w:after="0"/>
              <w:ind w:left="164"/>
              <w:jc w:val="both"/>
            </w:pPr>
          </w:p>
          <w:p w14:paraId="4B7AE2D2" w14:textId="77777777" w:rsidR="00A96A45" w:rsidRDefault="00A96A45" w:rsidP="004C573F">
            <w:pPr>
              <w:pStyle w:val="Rientrocorpodeltesto"/>
              <w:spacing w:after="0"/>
              <w:ind w:left="164"/>
              <w:jc w:val="both"/>
            </w:pPr>
          </w:p>
          <w:p w14:paraId="3FADAA65" w14:textId="1F46ADE6" w:rsidR="00113FF3" w:rsidRPr="00945B26" w:rsidRDefault="00E92F13" w:rsidP="00113FF3">
            <w:pPr>
              <w:pStyle w:val="Rientrocorpodeltesto"/>
              <w:spacing w:after="0"/>
              <w:ind w:left="164"/>
              <w:jc w:val="both"/>
              <w:rPr>
                <w:sz w:val="20"/>
                <w:szCs w:val="20"/>
              </w:rPr>
            </w:pPr>
            <w:hyperlink r:id="rId16" w:history="1">
              <w:r w:rsidR="004C573F" w:rsidRPr="00B8144D">
                <w:rPr>
                  <w:rStyle w:val="Collegamentoipertestuale"/>
                  <w:b/>
                  <w:color w:val="C00000"/>
                  <w:u w:val="none"/>
                </w:rPr>
                <w:t>Normativa di riferimento</w:t>
              </w:r>
            </w:hyperlink>
            <w:r w:rsidR="004C573F" w:rsidRPr="00B8144D">
              <w:rPr>
                <w:rStyle w:val="Collegamentoipertestuale"/>
                <w:b/>
                <w:color w:val="C00000"/>
                <w:u w:val="none"/>
              </w:rPr>
              <w:t>:</w:t>
            </w:r>
            <w:r w:rsidR="004C573F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4C573F" w:rsidRP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4C573F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hyperlink r:id="rId17" w:history="1">
              <w:r w:rsidR="00113FF3" w:rsidRPr="005D3B59">
                <w:rPr>
                  <w:rStyle w:val="Collegamentoipertestuale"/>
                  <w:b/>
                  <w:sz w:val="20"/>
                  <w:szCs w:val="20"/>
                </w:rPr>
                <w:t xml:space="preserve">TUR </w:t>
              </w:r>
              <w:r w:rsidR="00113FF3" w:rsidRPr="005D3B59">
                <w:rPr>
                  <w:rStyle w:val="Collegamentoipertestuale"/>
                  <w:b/>
                  <w:sz w:val="20"/>
                  <w:szCs w:val="20"/>
                </w:rPr>
                <w:t>p</w:t>
              </w:r>
              <w:r w:rsidR="00113FF3" w:rsidRPr="005D3B59">
                <w:rPr>
                  <w:rStyle w:val="Collegamentoipertestuale"/>
                  <w:b/>
                  <w:sz w:val="20"/>
                  <w:szCs w:val="20"/>
                </w:rPr>
                <w:t>arte 5^</w:t>
              </w:r>
            </w:hyperlink>
            <w:r w:rsidR="00113FF3" w:rsidRPr="00945B26">
              <w:rPr>
                <w:color w:val="0000FF"/>
                <w:sz w:val="20"/>
                <w:szCs w:val="20"/>
              </w:rPr>
              <w:t xml:space="preserve"> </w:t>
            </w:r>
            <w:r w:rsidR="00113FF3" w:rsidRPr="00945B26">
              <w:rPr>
                <w:color w:val="auto"/>
                <w:sz w:val="20"/>
                <w:szCs w:val="20"/>
                <w:u w:val="none"/>
              </w:rPr>
              <w:t xml:space="preserve">- </w:t>
            </w:r>
            <w:r w:rsidR="00113FF3">
              <w:rPr>
                <w:color w:val="auto"/>
                <w:sz w:val="20"/>
                <w:szCs w:val="20"/>
                <w:u w:val="none"/>
              </w:rPr>
              <w:t>Polizia amministrativa</w:t>
            </w:r>
          </w:p>
          <w:p w14:paraId="02329A6E" w14:textId="77777777" w:rsidR="00113FF3" w:rsidRDefault="00113FF3" w:rsidP="004C573F">
            <w:pPr>
              <w:spacing w:after="120"/>
              <w:ind w:left="164"/>
              <w:rPr>
                <w:b/>
                <w:color w:val="C00000"/>
                <w:u w:val="none"/>
              </w:rPr>
            </w:pPr>
          </w:p>
          <w:p w14:paraId="277E7627" w14:textId="28EC096E" w:rsidR="004C573F" w:rsidRDefault="004C573F" w:rsidP="004C573F">
            <w:pPr>
              <w:spacing w:after="120"/>
              <w:ind w:left="164"/>
              <w:rPr>
                <w:rFonts w:eastAsia="Times New Roman"/>
                <w:b/>
                <w:color w:val="0000FF"/>
                <w:sz w:val="20"/>
                <w:szCs w:val="20"/>
                <w:lang w:eastAsia="it-IT"/>
              </w:rPr>
            </w:pPr>
            <w:r w:rsidRPr="00B8144D">
              <w:rPr>
                <w:b/>
                <w:color w:val="C00000"/>
                <w:u w:val="none"/>
              </w:rPr>
              <w:t>Note:</w:t>
            </w:r>
            <w:r w:rsidRPr="00B8144D">
              <w:rPr>
                <w:color w:val="C00000"/>
              </w:rPr>
              <w:t xml:space="preserve"> </w:t>
            </w:r>
            <w:hyperlink r:id="rId18" w:history="1">
              <w:r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Testo unico di Pubblica Sicurezza</w:t>
              </w:r>
            </w:hyperlink>
          </w:p>
          <w:p w14:paraId="3987708A" w14:textId="77777777" w:rsidR="004C573F" w:rsidRPr="0041512A" w:rsidRDefault="004C573F" w:rsidP="004C573F">
            <w:pPr>
              <w:spacing w:after="120"/>
              <w:ind w:left="164" w:right="312"/>
              <w:jc w:val="both"/>
              <w:rPr>
                <w:b/>
                <w:sz w:val="24"/>
                <w:szCs w:val="24"/>
                <w:u w:val="none"/>
              </w:rPr>
            </w:pPr>
            <w:r w:rsidRPr="00FE239B">
              <w:rPr>
                <w:u w:val="none"/>
              </w:rPr>
              <w:t xml:space="preserve">          </w:t>
            </w:r>
            <w:hyperlink r:id="rId19" w:history="1">
              <w:r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Regolamento Testo Unico di Pubblica Sicurezza</w:t>
              </w:r>
            </w:hyperlink>
          </w:p>
          <w:p w14:paraId="1BF524B8" w14:textId="4364CC71" w:rsidR="004C573F" w:rsidRDefault="004C573F" w:rsidP="004C573F">
            <w:pPr>
              <w:spacing w:after="120"/>
              <w:ind w:left="174" w:right="318"/>
              <w:jc w:val="both"/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</w:pPr>
            <w:r w:rsidRPr="004C573F">
              <w:rPr>
                <w:u w:val="none"/>
              </w:rPr>
              <w:t xml:space="preserve">          </w:t>
            </w:r>
            <w:hyperlink r:id="rId20" w:history="1">
              <w:r w:rsidRPr="005C3771">
                <w:rPr>
                  <w:rStyle w:val="Collegamentoipertestuale"/>
                  <w:b/>
                  <w:sz w:val="20"/>
                  <w:szCs w:val="20"/>
                </w:rPr>
                <w:t>Circolare Compro Oro</w:t>
              </w:r>
            </w:hyperlink>
          </w:p>
          <w:p w14:paraId="3E922F4B" w14:textId="2906983F" w:rsidR="00276654" w:rsidRPr="0041512A" w:rsidRDefault="00276654" w:rsidP="006F4ED1">
            <w:pPr>
              <w:pStyle w:val="Paragrafoelenco"/>
              <w:spacing w:after="120"/>
              <w:ind w:left="164" w:right="312"/>
              <w:jc w:val="both"/>
              <w:rPr>
                <w:b/>
                <w:sz w:val="24"/>
                <w:szCs w:val="24"/>
                <w:u w:val="none"/>
              </w:rPr>
            </w:pPr>
          </w:p>
        </w:tc>
      </w:tr>
    </w:tbl>
    <w:p w14:paraId="25C29382" w14:textId="77777777" w:rsidR="00342D58" w:rsidRDefault="00342D58">
      <w:pPr>
        <w:rPr>
          <w:b/>
        </w:rPr>
      </w:pPr>
    </w:p>
    <w:p w14:paraId="34A1B7DF" w14:textId="77777777" w:rsidR="005E5880" w:rsidRPr="00342D58" w:rsidRDefault="005E5880">
      <w:pPr>
        <w:rPr>
          <w:b/>
        </w:rPr>
      </w:pPr>
    </w:p>
    <w:sectPr w:rsidR="005E5880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C0103"/>
    <w:multiLevelType w:val="multilevel"/>
    <w:tmpl w:val="0EB2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" w15:restartNumberingAfterBreak="0">
    <w:nsid w:val="135F53FF"/>
    <w:multiLevelType w:val="multilevel"/>
    <w:tmpl w:val="319C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E93D9C"/>
    <w:multiLevelType w:val="hybridMultilevel"/>
    <w:tmpl w:val="7F8803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D16CD"/>
    <w:multiLevelType w:val="multilevel"/>
    <w:tmpl w:val="DAC8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9D71C9"/>
    <w:multiLevelType w:val="multilevel"/>
    <w:tmpl w:val="080E5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0B349C"/>
    <w:multiLevelType w:val="multilevel"/>
    <w:tmpl w:val="F432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AF0050"/>
    <w:multiLevelType w:val="multilevel"/>
    <w:tmpl w:val="40AC8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BA04C1"/>
    <w:multiLevelType w:val="hybridMultilevel"/>
    <w:tmpl w:val="06A42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67CDB"/>
    <w:multiLevelType w:val="hybridMultilevel"/>
    <w:tmpl w:val="39C46F70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0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1" w15:restartNumberingAfterBreak="0">
    <w:nsid w:val="36D721AF"/>
    <w:multiLevelType w:val="hybridMultilevel"/>
    <w:tmpl w:val="B7DE5E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8E517E"/>
    <w:multiLevelType w:val="hybridMultilevel"/>
    <w:tmpl w:val="E454F178"/>
    <w:lvl w:ilvl="0" w:tplc="46B876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FC7D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28F8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2A21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D01A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D841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CE8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7007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746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B95D8A"/>
    <w:multiLevelType w:val="multilevel"/>
    <w:tmpl w:val="636CA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61AE5"/>
    <w:multiLevelType w:val="multilevel"/>
    <w:tmpl w:val="D3F8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C57AAE"/>
    <w:multiLevelType w:val="multilevel"/>
    <w:tmpl w:val="5F10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B4EEE"/>
    <w:multiLevelType w:val="hybridMultilevel"/>
    <w:tmpl w:val="E454F178"/>
    <w:lvl w:ilvl="0" w:tplc="67D4C4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B0806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849F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DC1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5000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CE65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88F1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0C3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B464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27064C"/>
    <w:multiLevelType w:val="hybridMultilevel"/>
    <w:tmpl w:val="80EAF6D8"/>
    <w:lvl w:ilvl="0" w:tplc="71369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2" w15:restartNumberingAfterBreak="0">
    <w:nsid w:val="77BF1E80"/>
    <w:multiLevelType w:val="hybridMultilevel"/>
    <w:tmpl w:val="A08A5C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DF5367"/>
    <w:multiLevelType w:val="hybridMultilevel"/>
    <w:tmpl w:val="BA76D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0"/>
  </w:num>
  <w:num w:numId="4">
    <w:abstractNumId w:val="21"/>
  </w:num>
  <w:num w:numId="5">
    <w:abstractNumId w:val="1"/>
  </w:num>
  <w:num w:numId="6">
    <w:abstractNumId w:val="18"/>
  </w:num>
  <w:num w:numId="7">
    <w:abstractNumId w:val="9"/>
  </w:num>
  <w:num w:numId="8">
    <w:abstractNumId w:val="5"/>
  </w:num>
  <w:num w:numId="9">
    <w:abstractNumId w:val="7"/>
  </w:num>
  <w:num w:numId="10">
    <w:abstractNumId w:val="2"/>
  </w:num>
  <w:num w:numId="11">
    <w:abstractNumId w:val="11"/>
  </w:num>
  <w:num w:numId="12">
    <w:abstractNumId w:val="6"/>
  </w:num>
  <w:num w:numId="13">
    <w:abstractNumId w:val="0"/>
  </w:num>
  <w:num w:numId="14">
    <w:abstractNumId w:val="19"/>
  </w:num>
  <w:num w:numId="15">
    <w:abstractNumId w:val="12"/>
  </w:num>
  <w:num w:numId="16">
    <w:abstractNumId w:val="8"/>
  </w:num>
  <w:num w:numId="17">
    <w:abstractNumId w:val="23"/>
  </w:num>
  <w:num w:numId="18">
    <w:abstractNumId w:val="13"/>
  </w:num>
  <w:num w:numId="19">
    <w:abstractNumId w:val="4"/>
  </w:num>
  <w:num w:numId="20">
    <w:abstractNumId w:val="15"/>
  </w:num>
  <w:num w:numId="21">
    <w:abstractNumId w:val="16"/>
  </w:num>
  <w:num w:numId="22">
    <w:abstractNumId w:val="20"/>
  </w:num>
  <w:num w:numId="23">
    <w:abstractNumId w:val="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3034E"/>
    <w:rsid w:val="00043FA9"/>
    <w:rsid w:val="00071B68"/>
    <w:rsid w:val="000E352F"/>
    <w:rsid w:val="000E4B7E"/>
    <w:rsid w:val="000F3ADF"/>
    <w:rsid w:val="00112873"/>
    <w:rsid w:val="00113FF3"/>
    <w:rsid w:val="00117F1E"/>
    <w:rsid w:val="0012159E"/>
    <w:rsid w:val="001B4E77"/>
    <w:rsid w:val="001D73AE"/>
    <w:rsid w:val="002003E5"/>
    <w:rsid w:val="00215D52"/>
    <w:rsid w:val="00220E5F"/>
    <w:rsid w:val="002210DE"/>
    <w:rsid w:val="0023487B"/>
    <w:rsid w:val="00237016"/>
    <w:rsid w:val="002706D8"/>
    <w:rsid w:val="00276654"/>
    <w:rsid w:val="00281114"/>
    <w:rsid w:val="002A4619"/>
    <w:rsid w:val="002A5D7C"/>
    <w:rsid w:val="002A6285"/>
    <w:rsid w:val="002A77E8"/>
    <w:rsid w:val="002B375D"/>
    <w:rsid w:val="002B6C24"/>
    <w:rsid w:val="0031523A"/>
    <w:rsid w:val="00336394"/>
    <w:rsid w:val="00342D58"/>
    <w:rsid w:val="003514C2"/>
    <w:rsid w:val="003A148C"/>
    <w:rsid w:val="003A4A32"/>
    <w:rsid w:val="003C5FBA"/>
    <w:rsid w:val="003F41B0"/>
    <w:rsid w:val="0041512A"/>
    <w:rsid w:val="004257E1"/>
    <w:rsid w:val="0044342C"/>
    <w:rsid w:val="00451991"/>
    <w:rsid w:val="0045341A"/>
    <w:rsid w:val="004704B5"/>
    <w:rsid w:val="00493BD0"/>
    <w:rsid w:val="004A3C01"/>
    <w:rsid w:val="004B3C68"/>
    <w:rsid w:val="004B7DB4"/>
    <w:rsid w:val="004C573F"/>
    <w:rsid w:val="004E3766"/>
    <w:rsid w:val="004F3CF0"/>
    <w:rsid w:val="004F59C5"/>
    <w:rsid w:val="004F667B"/>
    <w:rsid w:val="00506E58"/>
    <w:rsid w:val="00511929"/>
    <w:rsid w:val="0052347D"/>
    <w:rsid w:val="00536FD7"/>
    <w:rsid w:val="00587F68"/>
    <w:rsid w:val="005930C1"/>
    <w:rsid w:val="005A769A"/>
    <w:rsid w:val="005C01FD"/>
    <w:rsid w:val="005C3771"/>
    <w:rsid w:val="005C68B2"/>
    <w:rsid w:val="005C720B"/>
    <w:rsid w:val="005C756E"/>
    <w:rsid w:val="005D3B59"/>
    <w:rsid w:val="005E5880"/>
    <w:rsid w:val="005F1CCE"/>
    <w:rsid w:val="005F21E3"/>
    <w:rsid w:val="0060265B"/>
    <w:rsid w:val="00621A5C"/>
    <w:rsid w:val="00621E64"/>
    <w:rsid w:val="00640813"/>
    <w:rsid w:val="00651349"/>
    <w:rsid w:val="00651378"/>
    <w:rsid w:val="00677516"/>
    <w:rsid w:val="00692827"/>
    <w:rsid w:val="00694BB5"/>
    <w:rsid w:val="00697CB5"/>
    <w:rsid w:val="006B29D2"/>
    <w:rsid w:val="006B2EE0"/>
    <w:rsid w:val="006B3A13"/>
    <w:rsid w:val="006C7151"/>
    <w:rsid w:val="006E08B5"/>
    <w:rsid w:val="006E2A43"/>
    <w:rsid w:val="006F05DD"/>
    <w:rsid w:val="006F4ED1"/>
    <w:rsid w:val="00705665"/>
    <w:rsid w:val="00714EBD"/>
    <w:rsid w:val="007361DA"/>
    <w:rsid w:val="00737DA2"/>
    <w:rsid w:val="00746376"/>
    <w:rsid w:val="00757EC8"/>
    <w:rsid w:val="00763AB7"/>
    <w:rsid w:val="00764B7D"/>
    <w:rsid w:val="00774441"/>
    <w:rsid w:val="007D29FA"/>
    <w:rsid w:val="0080569E"/>
    <w:rsid w:val="0082478D"/>
    <w:rsid w:val="008665DB"/>
    <w:rsid w:val="00871E89"/>
    <w:rsid w:val="00872D0F"/>
    <w:rsid w:val="008756FA"/>
    <w:rsid w:val="00875A8F"/>
    <w:rsid w:val="00892F86"/>
    <w:rsid w:val="00892FA6"/>
    <w:rsid w:val="0089454F"/>
    <w:rsid w:val="00897F79"/>
    <w:rsid w:val="008F77D3"/>
    <w:rsid w:val="009025A0"/>
    <w:rsid w:val="0090382A"/>
    <w:rsid w:val="00932258"/>
    <w:rsid w:val="00945B26"/>
    <w:rsid w:val="0097516F"/>
    <w:rsid w:val="00977047"/>
    <w:rsid w:val="009A4645"/>
    <w:rsid w:val="009A476D"/>
    <w:rsid w:val="009B07B1"/>
    <w:rsid w:val="009C0F33"/>
    <w:rsid w:val="009D00A5"/>
    <w:rsid w:val="009F62D7"/>
    <w:rsid w:val="00A06B50"/>
    <w:rsid w:val="00A123BB"/>
    <w:rsid w:val="00A5440D"/>
    <w:rsid w:val="00A602F5"/>
    <w:rsid w:val="00A81D46"/>
    <w:rsid w:val="00A84893"/>
    <w:rsid w:val="00A96A45"/>
    <w:rsid w:val="00AF346A"/>
    <w:rsid w:val="00B0731C"/>
    <w:rsid w:val="00B66F7C"/>
    <w:rsid w:val="00B74DCB"/>
    <w:rsid w:val="00BB2167"/>
    <w:rsid w:val="00BC019B"/>
    <w:rsid w:val="00BF42AE"/>
    <w:rsid w:val="00BF5221"/>
    <w:rsid w:val="00BF67A8"/>
    <w:rsid w:val="00C459E8"/>
    <w:rsid w:val="00C75D34"/>
    <w:rsid w:val="00C9233E"/>
    <w:rsid w:val="00C92D90"/>
    <w:rsid w:val="00C95280"/>
    <w:rsid w:val="00CA0C5F"/>
    <w:rsid w:val="00CB4FB4"/>
    <w:rsid w:val="00CD592E"/>
    <w:rsid w:val="00CD7A44"/>
    <w:rsid w:val="00CE16FB"/>
    <w:rsid w:val="00CF2C56"/>
    <w:rsid w:val="00D02A9B"/>
    <w:rsid w:val="00D16B5E"/>
    <w:rsid w:val="00D46D3D"/>
    <w:rsid w:val="00D5625E"/>
    <w:rsid w:val="00D96248"/>
    <w:rsid w:val="00DC5DC3"/>
    <w:rsid w:val="00DD18A1"/>
    <w:rsid w:val="00DD2BE3"/>
    <w:rsid w:val="00DD6833"/>
    <w:rsid w:val="00DF0435"/>
    <w:rsid w:val="00E25843"/>
    <w:rsid w:val="00E25953"/>
    <w:rsid w:val="00E6197C"/>
    <w:rsid w:val="00E61C9E"/>
    <w:rsid w:val="00E660BB"/>
    <w:rsid w:val="00E92F13"/>
    <w:rsid w:val="00E94101"/>
    <w:rsid w:val="00E96861"/>
    <w:rsid w:val="00EB1403"/>
    <w:rsid w:val="00EC548A"/>
    <w:rsid w:val="00ED5B66"/>
    <w:rsid w:val="00EE371A"/>
    <w:rsid w:val="00F07CBF"/>
    <w:rsid w:val="00F16253"/>
    <w:rsid w:val="00F2381A"/>
    <w:rsid w:val="00F312D0"/>
    <w:rsid w:val="00F33A15"/>
    <w:rsid w:val="00F724EE"/>
    <w:rsid w:val="00FD5D50"/>
    <w:rsid w:val="00FD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19959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45B26"/>
  </w:style>
  <w:style w:type="table" w:customStyle="1" w:styleId="TableGrid">
    <w:name w:val="TableGrid"/>
    <w:rsid w:val="005E588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celta-evidenziata1">
    <w:name w:val="scelta-evidenziata1"/>
    <w:basedOn w:val="Carpredefinitoparagrafo"/>
    <w:rsid w:val="00CF2C56"/>
    <w:rPr>
      <w:b/>
      <w:bCs/>
      <w:color w:val="006699"/>
      <w:sz w:val="20"/>
      <w:szCs w:val="20"/>
    </w:rPr>
  </w:style>
  <w:style w:type="paragraph" w:styleId="Testonormale">
    <w:name w:val="Plain Text"/>
    <w:basedOn w:val="Normale"/>
    <w:link w:val="TestonormaleCarattere"/>
    <w:rsid w:val="004B3C6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4B3C6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eWeb">
    <w:name w:val="Normal (Web)"/>
    <w:basedOn w:val="Normale"/>
    <w:uiPriority w:val="99"/>
    <w:semiHidden/>
    <w:unhideWhenUsed/>
    <w:rsid w:val="00121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r01">
    <w:name w:val="provv_r01"/>
    <w:basedOn w:val="Normale"/>
    <w:uiPriority w:val="99"/>
    <w:rsid w:val="00CD7A44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24"/>
      <w:szCs w:val="24"/>
      <w:lang w:eastAsia="it-IT"/>
    </w:rPr>
  </w:style>
  <w:style w:type="character" w:customStyle="1" w:styleId="provvnumart1">
    <w:name w:val="provv_numart1"/>
    <w:rsid w:val="00C95280"/>
    <w:rPr>
      <w:rFonts w:ascii="Verdana" w:hAnsi="Verdana" w:hint="default"/>
      <w:b/>
      <w:bCs/>
    </w:rPr>
  </w:style>
  <w:style w:type="paragraph" w:customStyle="1" w:styleId="ui-treenode-label1">
    <w:name w:val="ui-treenode-label1"/>
    <w:basedOn w:val="Normale"/>
    <w:rsid w:val="006B2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2%20Settore%20Commercio%20fisso/CF21%20Vendita%20oggetti%20preziosi.docx" TargetMode="External"/><Relationship Id="rId13" Type="http://schemas.openxmlformats.org/officeDocument/2006/relationships/hyperlink" Target="Allegati/PA38-40%20Agenzie%20Affari%20Questura.pdf" TargetMode="External"/><Relationship Id="rId18" Type="http://schemas.openxmlformats.org/officeDocument/2006/relationships/hyperlink" Target="https://www.tuttocamere.it/files/psicurezza/1931_773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Definizioni/27PA%20Modalit&#224;%20Compro%20Oro.pdf" TargetMode="External"/><Relationship Id="rId12" Type="http://schemas.openxmlformats.org/officeDocument/2006/relationships/hyperlink" Target="file:///C:\S.STEFANO%20TICINO\3%20Procedimenti\2%20Settore%20Commercio%20fisso\Definizioni\Subingresso%20e%20sospensione%20attivit&#224;.pdf" TargetMode="External"/><Relationship Id="rId17" Type="http://schemas.openxmlformats.org/officeDocument/2006/relationships/hyperlink" Target="../../TUR/Parte%205%5e.pdf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Walter\sportello%20unico\Progetto%20PUC\PUC\5%20Procedimenti\Definizioni\Riferimenti%20normativi%20e%20di%20controllo.docx" TargetMode="External"/><Relationship Id="rId20" Type="http://schemas.openxmlformats.org/officeDocument/2006/relationships/hyperlink" Target="Definizioni/28PA%20Circolare%20Compro%20oro.pdf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Walter\Comuni\Valgreghentino\Progetto%20PUC\CONTATTI\CONTATTI_LC.docx" TargetMode="External"/><Relationship Id="rId11" Type="http://schemas.openxmlformats.org/officeDocument/2006/relationships/hyperlink" Target="file:///C:\S.STEFANO%20TICINO\3%20Procedimenti\2%20Settore%20Commercio%20fisso\Definizioni\Subingresso%20e%20sospensione%20attivit&#224;.pdf" TargetMode="External"/><Relationship Id="rId5" Type="http://schemas.openxmlformats.org/officeDocument/2006/relationships/hyperlink" Target="file:///C:\Walter\sportello%20unico\Progetto%20PUC\PROCEDIMENTI\PROCEDIMENTI.docx" TargetMode="External"/><Relationship Id="rId15" Type="http://schemas.openxmlformats.org/officeDocument/2006/relationships/hyperlink" Target="Definizioni/7PA%20Tempistica.pdf" TargetMode="External"/><Relationship Id="rId10" Type="http://schemas.openxmlformats.org/officeDocument/2006/relationships/hyperlink" Target="PA41%20Vidimazione%20registri.docx" TargetMode="External"/><Relationship Id="rId19" Type="http://schemas.openxmlformats.org/officeDocument/2006/relationships/hyperlink" Target="https://www.tuttocamere.it/files/psicurezza/1940_63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mpresainungiorno.gov.it/web/guest/comune?codCatastale=L581" TargetMode="External"/><Relationship Id="rId14" Type="http://schemas.openxmlformats.org/officeDocument/2006/relationships/hyperlink" Target="../../ATECO/Ateco%20Commercio.xls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30</cp:revision>
  <dcterms:created xsi:type="dcterms:W3CDTF">2018-07-29T15:49:00Z</dcterms:created>
  <dcterms:modified xsi:type="dcterms:W3CDTF">2021-05-11T13:57:00Z</dcterms:modified>
</cp:coreProperties>
</file>